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F20F45">
        <w:rPr>
          <w:rFonts w:ascii="Arial" w:eastAsia="宋体" w:hAnsi="Arial" w:cs="Arial"/>
          <w:b/>
          <w:sz w:val="24"/>
          <w:lang w:eastAsia="zh-CN"/>
        </w:rPr>
        <w:t>5</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40784A">
        <w:rPr>
          <w:rFonts w:ascii="Arial" w:eastAsia="宋体" w:hAnsi="Arial"/>
          <w:b/>
          <w:sz w:val="24"/>
          <w:lang w:eastAsia="zh-CN"/>
        </w:rPr>
        <w:t>6666</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F20F45">
        <w:rPr>
          <w:rFonts w:ascii="Arial" w:eastAsia="宋体" w:hAnsi="Arial"/>
          <w:b/>
          <w:sz w:val="24"/>
          <w:lang w:eastAsia="zh-CN"/>
        </w:rPr>
        <w:t>25</w:t>
      </w:r>
      <w:r w:rsidR="00707604" w:rsidRPr="00707604">
        <w:rPr>
          <w:rFonts w:ascii="Arial" w:eastAsia="宋体" w:hAnsi="Arial"/>
          <w:b/>
          <w:sz w:val="24"/>
          <w:lang w:eastAsia="zh-CN"/>
        </w:rPr>
        <w:t xml:space="preserve">th </w:t>
      </w:r>
      <w:r w:rsidR="00F20F45">
        <w:rPr>
          <w:rFonts w:ascii="Arial" w:eastAsia="宋体" w:hAnsi="Arial"/>
          <w:b/>
          <w:sz w:val="24"/>
          <w:lang w:eastAsia="zh-CN"/>
        </w:rPr>
        <w:t>May</w:t>
      </w:r>
      <w:r w:rsidR="00707604" w:rsidRPr="00707604">
        <w:rPr>
          <w:rFonts w:ascii="Arial" w:eastAsia="宋体" w:hAnsi="Arial"/>
          <w:b/>
          <w:sz w:val="24"/>
          <w:lang w:eastAsia="zh-CN"/>
        </w:rPr>
        <w:t xml:space="preserve"> - </w:t>
      </w:r>
      <w:r w:rsidR="00F20F45">
        <w:rPr>
          <w:rFonts w:ascii="Arial" w:eastAsia="宋体" w:hAnsi="Arial"/>
          <w:b/>
          <w:sz w:val="24"/>
          <w:lang w:eastAsia="zh-CN"/>
        </w:rPr>
        <w:t>5</w:t>
      </w:r>
      <w:r w:rsidR="00707604" w:rsidRPr="00707604">
        <w:rPr>
          <w:rFonts w:ascii="Arial" w:eastAsia="宋体" w:hAnsi="Arial"/>
          <w:b/>
          <w:sz w:val="24"/>
          <w:lang w:eastAsia="zh-CN"/>
        </w:rPr>
        <w:t xml:space="preserve">th </w:t>
      </w:r>
      <w:r w:rsidR="00F20F45">
        <w:rPr>
          <w:rFonts w:ascii="Arial" w:eastAsia="宋体" w:hAnsi="Arial"/>
          <w:b/>
          <w:sz w:val="24"/>
          <w:lang w:eastAsia="zh-CN"/>
        </w:rPr>
        <w:t>Jun</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700BA1" w:rsidRPr="00700BA1">
        <w:rPr>
          <w:rFonts w:eastAsia="宋体"/>
          <w:sz w:val="24"/>
          <w:lang w:val="en-US" w:eastAsia="zh-CN"/>
        </w:rPr>
        <w:t>Further discussion on HST PUSCH BS demodulation requirements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700BA1">
        <w:rPr>
          <w:rFonts w:eastAsia="宋体"/>
          <w:sz w:val="24"/>
          <w:lang w:val="en-US" w:eastAsia="zh-CN"/>
        </w:rPr>
        <w:t>6</w:t>
      </w:r>
      <w:r w:rsidR="00722CE4">
        <w:rPr>
          <w:rFonts w:eastAsia="宋体"/>
          <w:sz w:val="24"/>
          <w:lang w:val="en-US" w:eastAsia="zh-CN"/>
        </w:rPr>
        <w:t>.</w:t>
      </w:r>
      <w:r w:rsidR="00700BA1">
        <w:rPr>
          <w:rFonts w:eastAsia="宋体"/>
          <w:sz w:val="24"/>
          <w:lang w:val="en-US" w:eastAsia="zh-CN"/>
        </w:rPr>
        <w:t>17</w:t>
      </w:r>
      <w:r w:rsidR="00722CE4">
        <w:rPr>
          <w:rFonts w:eastAsia="宋体"/>
          <w:sz w:val="24"/>
          <w:lang w:val="en-US" w:eastAsia="zh-CN"/>
        </w:rPr>
        <w:t>.</w:t>
      </w:r>
      <w:r w:rsidR="00700BA1">
        <w:rPr>
          <w:rFonts w:eastAsia="宋体"/>
          <w:sz w:val="24"/>
          <w:lang w:val="en-US" w:eastAsia="zh-CN"/>
        </w:rPr>
        <w:t>2.2.1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6F6711"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RAN4#94bis-e, a WF was agreed on Rel-16 NR HST PUSCH BS demodulation requirements [1].</w:t>
      </w:r>
      <w:r w:rsidR="006C4EBC">
        <w:rPr>
          <w:rFonts w:eastAsia="宋体"/>
          <w:sz w:val="21"/>
          <w:szCs w:val="21"/>
          <w:lang w:val="en-US" w:eastAsia="zh-CN"/>
        </w:rPr>
        <w:t xml:space="preserve"> Main open issues are listed below:</w:t>
      </w:r>
    </w:p>
    <w:tbl>
      <w:tblPr>
        <w:tblStyle w:val="TableGrid"/>
        <w:tblW w:w="0" w:type="auto"/>
        <w:tblLook w:val="04A0" w:firstRow="1" w:lastRow="0" w:firstColumn="1" w:lastColumn="0" w:noHBand="0" w:noVBand="1"/>
      </w:tblPr>
      <w:tblGrid>
        <w:gridCol w:w="9288"/>
      </w:tblGrid>
      <w:tr w:rsidR="00517A56" w:rsidTr="00517A56">
        <w:tc>
          <w:tcPr>
            <w:tcW w:w="9288" w:type="dxa"/>
          </w:tcPr>
          <w:p w:rsidR="00686A01" w:rsidRPr="00686A01" w:rsidRDefault="00686A01" w:rsidP="00686A01">
            <w:pPr>
              <w:pStyle w:val="ListParagraph"/>
              <w:numPr>
                <w:ilvl w:val="0"/>
                <w:numId w:val="30"/>
              </w:numPr>
              <w:overflowPunct w:val="0"/>
              <w:autoSpaceDE w:val="0"/>
              <w:autoSpaceDN w:val="0"/>
              <w:adjustRightInd w:val="0"/>
              <w:ind w:firstLineChars="0"/>
              <w:textAlignment w:val="baseline"/>
              <w:rPr>
                <w:szCs w:val="21"/>
              </w:rPr>
            </w:pPr>
            <w:r w:rsidRPr="00686A01">
              <w:rPr>
                <w:szCs w:val="21"/>
              </w:rPr>
              <w:t>High speed support declaration for HST PUSCH</w:t>
            </w:r>
          </w:p>
          <w:p w:rsidR="00686A01" w:rsidRPr="00686A01" w:rsidRDefault="00686A01" w:rsidP="00686A01">
            <w:pPr>
              <w:pStyle w:val="ListParagraph"/>
              <w:numPr>
                <w:ilvl w:val="1"/>
                <w:numId w:val="30"/>
              </w:numPr>
              <w:overflowPunct w:val="0"/>
              <w:autoSpaceDE w:val="0"/>
              <w:autoSpaceDN w:val="0"/>
              <w:adjustRightInd w:val="0"/>
              <w:ind w:firstLineChars="0"/>
              <w:textAlignment w:val="baseline"/>
              <w:rPr>
                <w:szCs w:val="21"/>
              </w:rPr>
            </w:pPr>
            <w:r w:rsidRPr="00686A01">
              <w:rPr>
                <w:szCs w:val="21"/>
              </w:rPr>
              <w:t xml:space="preserve">Option 1: </w:t>
            </w:r>
            <w:r w:rsidRPr="00686A01">
              <w:rPr>
                <w:szCs w:val="21"/>
              </w:rPr>
              <w:br/>
              <w:t>Declare category of supported maximum speed. This can be either 350 or 500kph (or no HST support).</w:t>
            </w:r>
            <w:r w:rsidRPr="00686A01">
              <w:rPr>
                <w:szCs w:val="21"/>
              </w:rPr>
              <w:br/>
              <w:t>Which tests need to be passed, if 500kph is declared, is discussed separately under “High speed implicit test passing”</w:t>
            </w:r>
          </w:p>
          <w:p w:rsidR="00686A01" w:rsidRPr="00686A01" w:rsidRDefault="00686A01" w:rsidP="00686A01">
            <w:pPr>
              <w:pStyle w:val="ListParagraph"/>
              <w:numPr>
                <w:ilvl w:val="1"/>
                <w:numId w:val="30"/>
              </w:numPr>
              <w:overflowPunct w:val="0"/>
              <w:autoSpaceDE w:val="0"/>
              <w:autoSpaceDN w:val="0"/>
              <w:adjustRightInd w:val="0"/>
              <w:ind w:firstLineChars="0"/>
              <w:textAlignment w:val="baseline"/>
              <w:rPr>
                <w:szCs w:val="21"/>
              </w:rPr>
            </w:pPr>
            <w:r w:rsidRPr="00686A01">
              <w:rPr>
                <w:szCs w:val="21"/>
              </w:rPr>
              <w:t>Option 2</w:t>
            </w:r>
            <w:proofErr w:type="gramStart"/>
            <w:r w:rsidRPr="00686A01">
              <w:rPr>
                <w:szCs w:val="21"/>
              </w:rPr>
              <w:t>:</w:t>
            </w:r>
            <w:proofErr w:type="gramEnd"/>
            <w:r w:rsidRPr="00686A01">
              <w:rPr>
                <w:szCs w:val="21"/>
              </w:rPr>
              <w:br/>
              <w:t xml:space="preserve">Declare category of supported design target speed(s). This can be 350 or 500 or 350&amp;500kph (or no HST support). </w:t>
            </w:r>
            <w:r w:rsidRPr="00686A01">
              <w:rPr>
                <w:szCs w:val="21"/>
              </w:rPr>
              <w:br/>
              <w:t>Only the corresponding requirements are tested (only 350&amp;500kph tests both).</w:t>
            </w:r>
          </w:p>
          <w:p w:rsidR="00686A01" w:rsidRDefault="00686A01" w:rsidP="00686A01">
            <w:pPr>
              <w:pStyle w:val="ListParagraph"/>
              <w:numPr>
                <w:ilvl w:val="1"/>
                <w:numId w:val="30"/>
              </w:numPr>
              <w:overflowPunct w:val="0"/>
              <w:autoSpaceDE w:val="0"/>
              <w:autoSpaceDN w:val="0"/>
              <w:adjustRightInd w:val="0"/>
              <w:ind w:firstLineChars="0"/>
              <w:textAlignment w:val="baseline"/>
              <w:rPr>
                <w:szCs w:val="21"/>
              </w:rPr>
            </w:pPr>
            <w:r w:rsidRPr="00686A01">
              <w:rPr>
                <w:rFonts w:ascii="Times New Roman" w:eastAsia="Times New Roman" w:hAnsi="Times New Roman"/>
                <w:kern w:val="0"/>
                <w:sz w:val="20"/>
                <w:szCs w:val="21"/>
                <w:lang w:eastAsia="en-US"/>
              </w:rPr>
              <w:t>Companies are encouraged to bring specific manufacturer declaration proposals in a form that could be included in the manufacturer declaration table, i.e., all declaration groups, all choices per group, and explanation of each choice.</w:t>
            </w:r>
          </w:p>
          <w:p w:rsidR="00E224FF" w:rsidRPr="00E224FF" w:rsidRDefault="00E224FF" w:rsidP="00E224FF">
            <w:pPr>
              <w:pStyle w:val="ListParagraph"/>
              <w:numPr>
                <w:ilvl w:val="0"/>
                <w:numId w:val="30"/>
              </w:numPr>
              <w:overflowPunct w:val="0"/>
              <w:autoSpaceDE w:val="0"/>
              <w:autoSpaceDN w:val="0"/>
              <w:adjustRightInd w:val="0"/>
              <w:ind w:firstLineChars="0"/>
              <w:textAlignment w:val="baseline"/>
              <w:rPr>
                <w:szCs w:val="21"/>
              </w:rPr>
            </w:pPr>
            <w:proofErr w:type="spellStart"/>
            <w:r w:rsidRPr="00E224FF">
              <w:rPr>
                <w:szCs w:val="21"/>
              </w:rPr>
              <w:t>Dft</w:t>
            </w:r>
            <w:proofErr w:type="spellEnd"/>
            <w:r w:rsidRPr="00E224FF">
              <w:rPr>
                <w:szCs w:val="21"/>
              </w:rPr>
              <w:t>-s-OFDM waveform</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1: Introduce PUSCH HST requirements for DFT-s-OFDM.</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2: Do not introduce PUSCH HST requirements for DFT-s-OFDM</w:t>
            </w:r>
          </w:p>
          <w:p w:rsidR="00517A56"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3: Define DFT-s-OFDM only for 350km/h scenario, 1T2R and minimum channel bandwidth</w:t>
            </w:r>
          </w:p>
          <w:p w:rsidR="00E224FF" w:rsidRPr="00E224FF" w:rsidRDefault="00E224FF" w:rsidP="00E224FF">
            <w:pPr>
              <w:pStyle w:val="ListParagraph"/>
              <w:numPr>
                <w:ilvl w:val="0"/>
                <w:numId w:val="30"/>
              </w:numPr>
              <w:overflowPunct w:val="0"/>
              <w:autoSpaceDE w:val="0"/>
              <w:autoSpaceDN w:val="0"/>
              <w:adjustRightInd w:val="0"/>
              <w:ind w:firstLineChars="0"/>
              <w:textAlignment w:val="baseline"/>
              <w:rPr>
                <w:szCs w:val="21"/>
              </w:rPr>
            </w:pPr>
            <w:r w:rsidRPr="00E224FF">
              <w:rPr>
                <w:szCs w:val="21"/>
              </w:rPr>
              <w:t xml:space="preserve">If </w:t>
            </w:r>
            <w:proofErr w:type="spellStart"/>
            <w:r w:rsidRPr="00E224FF">
              <w:rPr>
                <w:szCs w:val="21"/>
              </w:rPr>
              <w:t>Dft</w:t>
            </w:r>
            <w:proofErr w:type="spellEnd"/>
            <w:r w:rsidRPr="00E224FF">
              <w:rPr>
                <w:szCs w:val="21"/>
              </w:rPr>
              <w:t>-s-OFDM is introduced: Configuration</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1 Configuration as follows.</w:t>
            </w:r>
            <w:r w:rsidRPr="00E224FF">
              <w:rPr>
                <w:szCs w:val="21"/>
              </w:rPr>
              <w:br/>
              <w:t>500kph only, MCS2, RB allocation:  24 RB for 5MHz CBW/15KHz SCS, TDRA: type A, DMRS position: 1+1+1, L0: 3.</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2: Minimum channel bandwidth (i.e., 5MHz for 15 kHz SCS, 10MHz for 30 kHz SCS)</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3: Define HST requirements with DFT-s-OFDM for both 350 km/h and 500 km/h.</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 xml:space="preserve">Option 4: TBD after </w:t>
            </w:r>
            <w:proofErr w:type="spellStart"/>
            <w:r w:rsidRPr="00E224FF">
              <w:rPr>
                <w:szCs w:val="21"/>
              </w:rPr>
              <w:t>Dft</w:t>
            </w:r>
            <w:proofErr w:type="spellEnd"/>
            <w:r w:rsidRPr="00E224FF">
              <w:rPr>
                <w:szCs w:val="21"/>
              </w:rPr>
              <w:t>-s-OFDM decision.</w:t>
            </w:r>
          </w:p>
          <w:p w:rsidR="00E224FF" w:rsidRPr="00E224FF" w:rsidRDefault="00E224FF" w:rsidP="00E224FF">
            <w:pPr>
              <w:pStyle w:val="ListParagraph"/>
              <w:numPr>
                <w:ilvl w:val="0"/>
                <w:numId w:val="30"/>
              </w:numPr>
              <w:overflowPunct w:val="0"/>
              <w:autoSpaceDE w:val="0"/>
              <w:autoSpaceDN w:val="0"/>
              <w:adjustRightInd w:val="0"/>
              <w:ind w:firstLineChars="0"/>
              <w:textAlignment w:val="baseline"/>
              <w:rPr>
                <w:szCs w:val="21"/>
              </w:rPr>
            </w:pPr>
            <w:r w:rsidRPr="00E224FF">
              <w:rPr>
                <w:szCs w:val="21"/>
              </w:rPr>
              <w:t>Multi-path fading channel under high Doppler value</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1: Do not specify requirements for multi-path fading channel models with high Doppler values.</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 xml:space="preserve">Option 2: Specify PUSCH requirements for multi-path fading channel with maximum </w:t>
            </w:r>
            <w:proofErr w:type="spellStart"/>
            <w:proofErr w:type="gramStart"/>
            <w:r w:rsidRPr="00E224FF">
              <w:rPr>
                <w:szCs w:val="21"/>
              </w:rPr>
              <w:t>doppler</w:t>
            </w:r>
            <w:proofErr w:type="spellEnd"/>
            <w:proofErr w:type="gramEnd"/>
            <w:r w:rsidRPr="00E224FF">
              <w:rPr>
                <w:szCs w:val="21"/>
              </w:rPr>
              <w:t xml:space="preserve"> shift of 1200Hz and 2400Hz for 15kHz SCS and 30kHz SCS, respectively.</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lastRenderedPageBreak/>
              <w:t xml:space="preserve">Option 3: Specify PUSCH requirements for multi-path fading channel with maximum </w:t>
            </w:r>
            <w:proofErr w:type="spellStart"/>
            <w:proofErr w:type="gramStart"/>
            <w:r w:rsidRPr="00E224FF">
              <w:rPr>
                <w:szCs w:val="21"/>
              </w:rPr>
              <w:t>doppler</w:t>
            </w:r>
            <w:proofErr w:type="spellEnd"/>
            <w:proofErr w:type="gramEnd"/>
            <w:r w:rsidRPr="00E224FF">
              <w:rPr>
                <w:szCs w:val="21"/>
              </w:rPr>
              <w:t xml:space="preserve"> shift of 600Hz and 1200Hz for 15kHz SCS and 30kHz SCS, respectively.</w:t>
            </w:r>
          </w:p>
          <w:p w:rsidR="00E224FF" w:rsidRPr="00E224FF" w:rsidRDefault="00E224FF" w:rsidP="00E224FF">
            <w:pPr>
              <w:pStyle w:val="ListParagraph"/>
              <w:numPr>
                <w:ilvl w:val="0"/>
                <w:numId w:val="30"/>
              </w:numPr>
              <w:overflowPunct w:val="0"/>
              <w:autoSpaceDE w:val="0"/>
              <w:autoSpaceDN w:val="0"/>
              <w:adjustRightInd w:val="0"/>
              <w:ind w:firstLineChars="0"/>
              <w:textAlignment w:val="baseline"/>
              <w:rPr>
                <w:szCs w:val="21"/>
              </w:rPr>
            </w:pPr>
            <w:r w:rsidRPr="00E224FF">
              <w:rPr>
                <w:szCs w:val="21"/>
              </w:rPr>
              <w:t>Is multi-path fading channel under high Doppler value a common scenario?</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1: Multi-path fading channel is very rare in HST scenarios (open area or tunnel).</w:t>
            </w:r>
          </w:p>
          <w:p w:rsidR="00E224FF" w:rsidRPr="00E224FF" w:rsidRDefault="00E224FF" w:rsidP="00E224FF">
            <w:pPr>
              <w:pStyle w:val="ListParagraph"/>
              <w:numPr>
                <w:ilvl w:val="1"/>
                <w:numId w:val="30"/>
              </w:numPr>
              <w:overflowPunct w:val="0"/>
              <w:autoSpaceDE w:val="0"/>
              <w:autoSpaceDN w:val="0"/>
              <w:adjustRightInd w:val="0"/>
              <w:ind w:firstLineChars="0"/>
              <w:textAlignment w:val="baseline"/>
              <w:rPr>
                <w:szCs w:val="21"/>
              </w:rPr>
            </w:pPr>
            <w:r w:rsidRPr="00E224FF">
              <w:rPr>
                <w:szCs w:val="21"/>
              </w:rPr>
              <w:t>Option 2: Fading channel is also typical condition in the real propagation under high speed.</w:t>
            </w:r>
          </w:p>
        </w:tc>
      </w:tr>
    </w:tbl>
    <w:p w:rsidR="00517A56" w:rsidRDefault="00517A56" w:rsidP="006F7C9D">
      <w:pPr>
        <w:pStyle w:val="BodyText"/>
        <w:tabs>
          <w:tab w:val="num" w:pos="226"/>
          <w:tab w:val="num" w:pos="284"/>
          <w:tab w:val="left" w:pos="5103"/>
        </w:tabs>
        <w:snapToGrid w:val="0"/>
        <w:spacing w:beforeLines="50" w:before="156"/>
        <w:rPr>
          <w:rFonts w:eastAsia="宋体"/>
          <w:sz w:val="21"/>
          <w:szCs w:val="21"/>
          <w:lang w:val="en-US" w:eastAsia="zh-CN"/>
        </w:rPr>
      </w:pPr>
    </w:p>
    <w:p w:rsidR="0019214A" w:rsidRPr="0019214A" w:rsidRDefault="00815C6D"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In this contribution, we </w:t>
      </w:r>
      <w:r w:rsidR="00600E62">
        <w:rPr>
          <w:rFonts w:eastAsia="宋体"/>
          <w:sz w:val="21"/>
          <w:szCs w:val="21"/>
          <w:lang w:val="en-US" w:eastAsia="zh-CN"/>
        </w:rPr>
        <w:t>share our views on these open issues</w:t>
      </w:r>
      <w:r w:rsidR="00D20E87">
        <w:rPr>
          <w:rFonts w:eastAsia="宋体"/>
          <w:sz w:val="21"/>
          <w:szCs w:val="21"/>
          <w:lang w:val="en-US" w:eastAsia="zh-CN"/>
        </w:rPr>
        <w:t>.</w:t>
      </w:r>
      <w:r w:rsidR="003845B4">
        <w:rPr>
          <w:rFonts w:eastAsia="宋体"/>
          <w:sz w:val="21"/>
          <w:szCs w:val="21"/>
          <w:lang w:val="en-US" w:eastAsia="zh-CN"/>
        </w:rPr>
        <w:t xml:space="preserve"> </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0B5E28"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As discussed in our companion paper on UL TA [3], the declaration of 500 </w:t>
      </w:r>
      <w:proofErr w:type="spellStart"/>
      <w:r>
        <w:rPr>
          <w:rFonts w:eastAsia="宋体"/>
          <w:bCs/>
          <w:sz w:val="21"/>
          <w:szCs w:val="21"/>
          <w:lang w:val="en-GB" w:eastAsia="zh-CN"/>
        </w:rPr>
        <w:t>kmph</w:t>
      </w:r>
      <w:proofErr w:type="spellEnd"/>
      <w:r>
        <w:rPr>
          <w:rFonts w:eastAsia="宋体"/>
          <w:bCs/>
          <w:sz w:val="21"/>
          <w:szCs w:val="21"/>
          <w:lang w:val="en-GB" w:eastAsia="zh-CN"/>
        </w:rPr>
        <w:t xml:space="preserve"> support may override the support of 350 </w:t>
      </w:r>
      <w:proofErr w:type="spellStart"/>
      <w:r>
        <w:rPr>
          <w:rFonts w:eastAsia="宋体"/>
          <w:bCs/>
          <w:sz w:val="21"/>
          <w:szCs w:val="21"/>
          <w:lang w:val="en-GB" w:eastAsia="zh-CN"/>
        </w:rPr>
        <w:t>kmph</w:t>
      </w:r>
      <w:proofErr w:type="spellEnd"/>
      <w:r>
        <w:rPr>
          <w:rFonts w:eastAsia="宋体"/>
          <w:bCs/>
          <w:sz w:val="21"/>
          <w:szCs w:val="21"/>
          <w:lang w:val="en-GB" w:eastAsia="zh-CN"/>
        </w:rPr>
        <w:t xml:space="preserve">. </w:t>
      </w:r>
      <w:r w:rsidR="00C45078">
        <w:rPr>
          <w:rFonts w:eastAsia="宋体"/>
          <w:bCs/>
          <w:sz w:val="21"/>
          <w:szCs w:val="21"/>
          <w:lang w:val="en-GB" w:eastAsia="zh-CN"/>
        </w:rPr>
        <w:t>It is out of imaginary that a BS declaring support of 500kmph does not support</w:t>
      </w:r>
      <w:r>
        <w:rPr>
          <w:rFonts w:eastAsia="宋体"/>
          <w:bCs/>
          <w:sz w:val="21"/>
          <w:szCs w:val="21"/>
          <w:lang w:val="en-GB" w:eastAsia="zh-CN"/>
        </w:rPr>
        <w:t xml:space="preserve"> </w:t>
      </w:r>
      <w:r w:rsidR="00C45078">
        <w:rPr>
          <w:rFonts w:eastAsia="宋体"/>
          <w:bCs/>
          <w:sz w:val="21"/>
          <w:szCs w:val="21"/>
          <w:lang w:val="en-GB" w:eastAsia="zh-CN"/>
        </w:rPr>
        <w:t xml:space="preserve">350kmph. </w:t>
      </w:r>
      <w:r w:rsidR="008B7297">
        <w:rPr>
          <w:rFonts w:eastAsia="宋体"/>
          <w:bCs/>
          <w:sz w:val="21"/>
          <w:szCs w:val="21"/>
          <w:lang w:val="en-GB" w:eastAsia="zh-CN"/>
        </w:rPr>
        <w:t xml:space="preserve">And as a complete function, it is also irrational that a BS declaring support of HST PUSCH does not support HST UL, or HST PRACH. Therefore, a new declaration item “Maximum supported speed for HST” should be introduced and cover HST PUSCH, UL TA and HST PRACH. </w:t>
      </w:r>
      <w:r w:rsidR="00307FB2">
        <w:rPr>
          <w:rFonts w:eastAsia="宋体"/>
          <w:bCs/>
          <w:sz w:val="21"/>
          <w:szCs w:val="21"/>
          <w:lang w:val="en-GB" w:eastAsia="zh-CN"/>
        </w:rPr>
        <w:t>A detailed example is shown below:</w:t>
      </w:r>
    </w:p>
    <w:p w:rsidR="008B7297" w:rsidRDefault="00307FB2" w:rsidP="00307FB2">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Table – 1 Declaration of maximum supported speed for HST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51"/>
        <w:gridCol w:w="1237"/>
        <w:gridCol w:w="4966"/>
        <w:gridCol w:w="787"/>
        <w:gridCol w:w="1147"/>
      </w:tblGrid>
      <w:tr w:rsidR="00600E62" w:rsidRPr="006739FE" w:rsidTr="008B7297">
        <w:trPr>
          <w:trHeight w:val="176"/>
          <w:tblHeader/>
          <w:jc w:val="center"/>
        </w:trPr>
        <w:tc>
          <w:tcPr>
            <w:tcW w:w="0" w:type="auto"/>
            <w:vMerge w:val="restart"/>
          </w:tcPr>
          <w:p w:rsidR="004A108A" w:rsidRPr="006739FE" w:rsidRDefault="004A108A" w:rsidP="00783CAC">
            <w:pPr>
              <w:pStyle w:val="TAH"/>
              <w:keepNext w:val="0"/>
            </w:pPr>
            <w:r w:rsidRPr="006739FE">
              <w:t>Declaration identifier</w:t>
            </w:r>
          </w:p>
        </w:tc>
        <w:tc>
          <w:tcPr>
            <w:tcW w:w="0" w:type="auto"/>
            <w:vMerge w:val="restart"/>
          </w:tcPr>
          <w:p w:rsidR="004A108A" w:rsidRPr="006739FE" w:rsidRDefault="004A108A" w:rsidP="00783CAC">
            <w:pPr>
              <w:pStyle w:val="TAH"/>
              <w:keepNext w:val="0"/>
            </w:pPr>
            <w:r w:rsidRPr="006739FE">
              <w:t>Declaration</w:t>
            </w:r>
          </w:p>
        </w:tc>
        <w:tc>
          <w:tcPr>
            <w:tcW w:w="4966" w:type="dxa"/>
            <w:vMerge w:val="restart"/>
          </w:tcPr>
          <w:p w:rsidR="004A108A" w:rsidRPr="006739FE" w:rsidRDefault="004A108A" w:rsidP="00783CAC">
            <w:pPr>
              <w:pStyle w:val="TAH"/>
              <w:keepNext w:val="0"/>
            </w:pPr>
            <w:r w:rsidRPr="006739FE">
              <w:t>Description</w:t>
            </w:r>
          </w:p>
        </w:tc>
        <w:tc>
          <w:tcPr>
            <w:tcW w:w="1463" w:type="dxa"/>
            <w:gridSpan w:val="2"/>
          </w:tcPr>
          <w:p w:rsidR="004A108A" w:rsidRPr="006739FE" w:rsidRDefault="004A108A" w:rsidP="00783CAC">
            <w:pPr>
              <w:pStyle w:val="TAH"/>
              <w:keepNext w:val="0"/>
            </w:pPr>
            <w:r w:rsidRPr="006739FE">
              <w:t>Applicability</w:t>
            </w:r>
          </w:p>
        </w:tc>
      </w:tr>
      <w:tr w:rsidR="00F13ABC" w:rsidRPr="006739FE" w:rsidTr="008B7297">
        <w:trPr>
          <w:trHeight w:val="175"/>
          <w:tblHeader/>
          <w:jc w:val="center"/>
        </w:trPr>
        <w:tc>
          <w:tcPr>
            <w:tcW w:w="0" w:type="auto"/>
            <w:vMerge/>
          </w:tcPr>
          <w:p w:rsidR="004A108A" w:rsidRPr="006739FE" w:rsidRDefault="004A108A" w:rsidP="00783CAC">
            <w:pPr>
              <w:pStyle w:val="TAH"/>
              <w:keepNext w:val="0"/>
            </w:pPr>
          </w:p>
        </w:tc>
        <w:tc>
          <w:tcPr>
            <w:tcW w:w="0" w:type="auto"/>
            <w:vMerge/>
          </w:tcPr>
          <w:p w:rsidR="004A108A" w:rsidRPr="006739FE" w:rsidRDefault="004A108A" w:rsidP="00783CAC">
            <w:pPr>
              <w:pStyle w:val="TAH"/>
              <w:keepNext w:val="0"/>
            </w:pPr>
          </w:p>
        </w:tc>
        <w:tc>
          <w:tcPr>
            <w:tcW w:w="4966" w:type="dxa"/>
            <w:vMerge/>
          </w:tcPr>
          <w:p w:rsidR="004A108A" w:rsidRPr="006739FE" w:rsidRDefault="004A108A" w:rsidP="00783CAC">
            <w:pPr>
              <w:pStyle w:val="TAH"/>
              <w:keepNext w:val="0"/>
            </w:pPr>
          </w:p>
        </w:tc>
        <w:tc>
          <w:tcPr>
            <w:tcW w:w="787" w:type="dxa"/>
          </w:tcPr>
          <w:p w:rsidR="004A108A" w:rsidRPr="006739FE" w:rsidRDefault="004A108A" w:rsidP="00783CAC">
            <w:pPr>
              <w:pStyle w:val="TAH"/>
              <w:keepNext w:val="0"/>
              <w:rPr>
                <w:i/>
              </w:rPr>
            </w:pPr>
            <w:r w:rsidRPr="006739FE">
              <w:rPr>
                <w:i/>
              </w:rPr>
              <w:t>BS type 1-C</w:t>
            </w:r>
          </w:p>
        </w:tc>
        <w:tc>
          <w:tcPr>
            <w:tcW w:w="0" w:type="auto"/>
          </w:tcPr>
          <w:p w:rsidR="004A108A" w:rsidRPr="006739FE" w:rsidRDefault="004A108A" w:rsidP="00783CAC">
            <w:pPr>
              <w:pStyle w:val="TAH"/>
              <w:keepNext w:val="0"/>
              <w:rPr>
                <w:i/>
              </w:rPr>
            </w:pPr>
            <w:r w:rsidRPr="006739FE">
              <w:rPr>
                <w:i/>
              </w:rPr>
              <w:t>BS type 1-H</w:t>
            </w:r>
          </w:p>
        </w:tc>
      </w:tr>
      <w:tr w:rsidR="00F13ABC" w:rsidRPr="006739FE" w:rsidTr="00B01EC6">
        <w:trPr>
          <w:trHeight w:val="1583"/>
          <w:jc w:val="center"/>
        </w:trPr>
        <w:tc>
          <w:tcPr>
            <w:tcW w:w="0" w:type="auto"/>
          </w:tcPr>
          <w:p w:rsidR="004A108A" w:rsidRPr="006739FE" w:rsidRDefault="004A108A" w:rsidP="00783CAC">
            <w:pPr>
              <w:pStyle w:val="TAL"/>
              <w:keepNext w:val="0"/>
              <w:rPr>
                <w:rFonts w:cs="Arial"/>
                <w:szCs w:val="18"/>
              </w:rPr>
            </w:pPr>
            <w:r w:rsidRPr="006739FE">
              <w:t>D.1</w:t>
            </w:r>
            <w:r>
              <w:t>08</w:t>
            </w:r>
          </w:p>
        </w:tc>
        <w:tc>
          <w:tcPr>
            <w:tcW w:w="0" w:type="auto"/>
          </w:tcPr>
          <w:p w:rsidR="004A108A" w:rsidRPr="006739FE" w:rsidRDefault="004A108A" w:rsidP="00783CAC">
            <w:pPr>
              <w:pStyle w:val="TAL"/>
              <w:keepNext w:val="0"/>
              <w:rPr>
                <w:rFonts w:cs="Arial"/>
                <w:szCs w:val="18"/>
              </w:rPr>
            </w:pPr>
            <w:r>
              <w:t>Maximu</w:t>
            </w:r>
            <w:r w:rsidR="00374D0D">
              <w:t>m supported speed for High Speed Train</w:t>
            </w:r>
          </w:p>
        </w:tc>
        <w:tc>
          <w:tcPr>
            <w:tcW w:w="4966" w:type="dxa"/>
          </w:tcPr>
          <w:p w:rsidR="004A108A" w:rsidRPr="006739FE" w:rsidRDefault="004A108A" w:rsidP="00600E62">
            <w:pPr>
              <w:pStyle w:val="TAL"/>
              <w:keepNext w:val="0"/>
              <w:rPr>
                <w:rFonts w:cs="Arial"/>
                <w:szCs w:val="18"/>
              </w:rPr>
            </w:pPr>
            <w:r w:rsidRPr="006739FE">
              <w:t xml:space="preserve">Declaration of </w:t>
            </w:r>
            <w:r>
              <w:t xml:space="preserve">the maximum supported speed </w:t>
            </w:r>
            <w:r w:rsidR="00374D0D">
              <w:t>for High Speed Train scenarios.</w:t>
            </w:r>
            <w:r w:rsidR="00596F06">
              <w:t xml:space="preserve"> The declaration is chosen from the set {No HST support, 350 km/h, 500 km/h} and applicable to HST PUSCH, UL TA and HST PRACH. </w:t>
            </w:r>
            <w:r w:rsidR="00B01EC6">
              <w:t>S</w:t>
            </w:r>
            <w:r w:rsidR="00596F06">
              <w:t>peed</w:t>
            </w:r>
            <w:r w:rsidR="00F13ABC">
              <w:t>(s)</w:t>
            </w:r>
            <w:r w:rsidR="00596F06">
              <w:t xml:space="preserve"> less than the declaration </w:t>
            </w:r>
            <w:r w:rsidR="00600E62">
              <w:t>shall</w:t>
            </w:r>
            <w:r w:rsidR="00596F06">
              <w:t xml:space="preserve"> also</w:t>
            </w:r>
            <w:r w:rsidR="00600E62">
              <w:t xml:space="preserve"> be</w:t>
            </w:r>
            <w:r w:rsidR="00596F06">
              <w:t xml:space="preserve"> supported</w:t>
            </w:r>
            <w:r w:rsidR="00B01EC6">
              <w:t xml:space="preserve"> under this dec</w:t>
            </w:r>
            <w:r w:rsidR="008A06D7">
              <w:t>laration</w:t>
            </w:r>
            <w:r w:rsidR="00596F06">
              <w:t xml:space="preserve">. </w:t>
            </w:r>
            <w:r>
              <w:t xml:space="preserve"> </w:t>
            </w:r>
          </w:p>
        </w:tc>
        <w:tc>
          <w:tcPr>
            <w:tcW w:w="787" w:type="dxa"/>
          </w:tcPr>
          <w:p w:rsidR="004A108A" w:rsidRPr="006739FE" w:rsidRDefault="004A108A" w:rsidP="00783CAC">
            <w:pPr>
              <w:pStyle w:val="TAC"/>
              <w:keepNext w:val="0"/>
            </w:pPr>
            <w:r w:rsidRPr="006739FE">
              <w:t>x</w:t>
            </w:r>
          </w:p>
        </w:tc>
        <w:tc>
          <w:tcPr>
            <w:tcW w:w="0" w:type="auto"/>
          </w:tcPr>
          <w:p w:rsidR="004A108A" w:rsidRPr="006739FE" w:rsidRDefault="004A108A" w:rsidP="00783CAC">
            <w:pPr>
              <w:pStyle w:val="TAC"/>
              <w:keepNext w:val="0"/>
            </w:pPr>
            <w:r w:rsidRPr="006739FE">
              <w:t>x</w:t>
            </w:r>
          </w:p>
        </w:tc>
      </w:tr>
    </w:tbl>
    <w:p w:rsidR="004A108A" w:rsidRDefault="004A108A" w:rsidP="009B2891">
      <w:pPr>
        <w:pStyle w:val="BodyText"/>
        <w:tabs>
          <w:tab w:val="num" w:pos="226"/>
          <w:tab w:val="num" w:pos="284"/>
          <w:tab w:val="left" w:pos="5103"/>
        </w:tabs>
        <w:snapToGrid w:val="0"/>
        <w:rPr>
          <w:rFonts w:eastAsia="宋体"/>
          <w:bCs/>
          <w:sz w:val="21"/>
          <w:szCs w:val="21"/>
          <w:lang w:val="en-GB" w:eastAsia="zh-CN"/>
        </w:rPr>
      </w:pP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351C4D">
        <w:rPr>
          <w:rFonts w:eastAsia="宋体"/>
          <w:b/>
          <w:bCs/>
          <w:sz w:val="21"/>
          <w:szCs w:val="21"/>
          <w:lang w:val="en-GB" w:eastAsia="zh-CN"/>
        </w:rPr>
        <w:t>1</w:t>
      </w:r>
      <w:r w:rsidRPr="009C0ACA">
        <w:rPr>
          <w:rFonts w:eastAsia="宋体"/>
          <w:b/>
          <w:bCs/>
          <w:sz w:val="21"/>
          <w:szCs w:val="21"/>
          <w:lang w:val="en-GB" w:eastAsia="zh-CN"/>
        </w:rPr>
        <w:t>:</w:t>
      </w:r>
      <w:r w:rsidR="00351C4D">
        <w:rPr>
          <w:rFonts w:eastAsia="宋体"/>
          <w:b/>
          <w:bCs/>
          <w:sz w:val="21"/>
          <w:szCs w:val="21"/>
          <w:lang w:val="en-GB" w:eastAsia="zh-CN"/>
        </w:rPr>
        <w:t xml:space="preserve"> Introduce a new declaration item (Option 1) shown in Table -1.</w:t>
      </w:r>
    </w:p>
    <w:p w:rsidR="00307FB2" w:rsidRDefault="002651AE"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the new proposal to introduce DFT-s-OFDM</w:t>
      </w:r>
      <w:r w:rsidR="00AF273A">
        <w:rPr>
          <w:rFonts w:eastAsia="宋体"/>
          <w:bCs/>
          <w:sz w:val="21"/>
          <w:szCs w:val="21"/>
          <w:lang w:val="en-GB" w:eastAsia="zh-CN"/>
        </w:rPr>
        <w:t xml:space="preserve">, similarly </w:t>
      </w:r>
      <w:r w:rsidR="00B01EC6">
        <w:rPr>
          <w:rFonts w:eastAsia="宋体"/>
          <w:bCs/>
          <w:sz w:val="21"/>
          <w:szCs w:val="21"/>
          <w:lang w:val="en-GB" w:eastAsia="zh-CN"/>
        </w:rPr>
        <w:t xml:space="preserve">the main concern is timeline and work load. Completing the current assignments should have higher priority than introducing new </w:t>
      </w:r>
      <w:r w:rsidR="00A774E6">
        <w:rPr>
          <w:rFonts w:eastAsia="宋体"/>
          <w:bCs/>
          <w:sz w:val="21"/>
          <w:szCs w:val="21"/>
          <w:lang w:val="en-GB" w:eastAsia="zh-CN"/>
        </w:rPr>
        <w:t>requirements, therefore we propose to focus on completion of Rel-16 performance requirements at this stage.</w:t>
      </w:r>
    </w:p>
    <w:p w:rsidR="00A774E6" w:rsidRPr="00A774E6" w:rsidRDefault="00A774E6" w:rsidP="009C0ACA">
      <w:pPr>
        <w:pStyle w:val="BodyText"/>
        <w:tabs>
          <w:tab w:val="num" w:pos="226"/>
          <w:tab w:val="num" w:pos="284"/>
          <w:tab w:val="left" w:pos="5103"/>
        </w:tabs>
        <w:snapToGrid w:val="0"/>
        <w:rPr>
          <w:rFonts w:eastAsia="宋体"/>
          <w:b/>
          <w:bCs/>
          <w:sz w:val="21"/>
          <w:szCs w:val="21"/>
          <w:lang w:val="en-GB" w:eastAsia="zh-CN"/>
        </w:rPr>
      </w:pPr>
      <w:r w:rsidRPr="00A774E6">
        <w:rPr>
          <w:rFonts w:eastAsia="宋体"/>
          <w:b/>
          <w:bCs/>
          <w:sz w:val="21"/>
          <w:szCs w:val="21"/>
          <w:lang w:val="en-GB" w:eastAsia="zh-CN"/>
        </w:rPr>
        <w:t>Proposal 2: Focus on completion of Rel-16 performance requirements at this stage and do not introduce DFT-s-OFDM requirements for HST PUSCH (Option 2).</w:t>
      </w:r>
    </w:p>
    <w:p w:rsidR="00BB76BB" w:rsidRDefault="00A774E6"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Currently only two channel models are considered for HST PUSCH performance requirements: tunnel and open space. </w:t>
      </w:r>
      <w:r w:rsidR="004B0B3C">
        <w:rPr>
          <w:rFonts w:eastAsia="宋体"/>
          <w:bCs/>
          <w:sz w:val="21"/>
          <w:szCs w:val="21"/>
          <w:lang w:val="en-GB" w:eastAsia="zh-CN"/>
        </w:rPr>
        <w:t xml:space="preserve">In a tunnel, radio signals experience different paths from the transmitter to the receiver in a narrow space. And in an open space, lack of scattering objects between the transmitter and receiver does not lead to Doppler spectrum spread. In both models, Doppler </w:t>
      </w:r>
      <w:r w:rsidR="00927BDD">
        <w:rPr>
          <w:rFonts w:eastAsia="宋体"/>
          <w:bCs/>
          <w:sz w:val="21"/>
          <w:szCs w:val="21"/>
          <w:lang w:val="en-GB" w:eastAsia="zh-CN"/>
        </w:rPr>
        <w:t>Effect</w:t>
      </w:r>
      <w:r w:rsidR="004B0B3C">
        <w:rPr>
          <w:rFonts w:eastAsia="宋体"/>
          <w:bCs/>
          <w:sz w:val="21"/>
          <w:szCs w:val="21"/>
          <w:lang w:val="en-GB" w:eastAsia="zh-CN"/>
        </w:rPr>
        <w:t xml:space="preserve"> is mainly shown as a frequency offset instead of spread spectrum. </w:t>
      </w:r>
      <w:r w:rsidR="00927BDD">
        <w:rPr>
          <w:rFonts w:eastAsia="宋体"/>
          <w:bCs/>
          <w:sz w:val="21"/>
          <w:szCs w:val="21"/>
          <w:lang w:val="en-GB" w:eastAsia="zh-CN"/>
        </w:rPr>
        <w:t xml:space="preserve">However, if we consider multi-path fading channel in high speed train scenarios, it implies that the coherence time is reduced due to spread spectrum of Doppler Effect. For 500 </w:t>
      </w:r>
      <w:proofErr w:type="spellStart"/>
      <w:r w:rsidR="00927BDD">
        <w:rPr>
          <w:rFonts w:eastAsia="宋体"/>
          <w:bCs/>
          <w:sz w:val="21"/>
          <w:szCs w:val="21"/>
          <w:lang w:val="en-GB" w:eastAsia="zh-CN"/>
        </w:rPr>
        <w:t>kph</w:t>
      </w:r>
      <w:proofErr w:type="spellEnd"/>
      <w:r w:rsidR="00927BDD">
        <w:rPr>
          <w:rFonts w:eastAsia="宋体"/>
          <w:bCs/>
          <w:sz w:val="21"/>
          <w:szCs w:val="21"/>
          <w:lang w:val="en-GB" w:eastAsia="zh-CN"/>
        </w:rPr>
        <w:t xml:space="preserve"> at around </w:t>
      </w:r>
      <w:r w:rsidR="002E5523">
        <w:rPr>
          <w:rFonts w:eastAsia="宋体"/>
          <w:bCs/>
          <w:sz w:val="21"/>
          <w:szCs w:val="21"/>
          <w:lang w:val="en-GB" w:eastAsia="zh-CN"/>
        </w:rPr>
        <w:t>4</w:t>
      </w:r>
      <w:r w:rsidR="00927BDD">
        <w:rPr>
          <w:rFonts w:eastAsia="宋体"/>
          <w:bCs/>
          <w:sz w:val="21"/>
          <w:szCs w:val="21"/>
          <w:lang w:val="en-GB" w:eastAsia="zh-CN"/>
        </w:rPr>
        <w:t>GHz</w:t>
      </w:r>
      <w:r w:rsidR="002E5523">
        <w:rPr>
          <w:rFonts w:eastAsia="宋体"/>
          <w:bCs/>
          <w:sz w:val="21"/>
          <w:szCs w:val="21"/>
          <w:lang w:val="en-GB" w:eastAsia="zh-CN"/>
        </w:rPr>
        <w:t xml:space="preserve">, the coherence time becomes 1/(2*1.85*500)=0.5 </w:t>
      </w:r>
      <w:proofErr w:type="spellStart"/>
      <w:r w:rsidR="002E5523">
        <w:rPr>
          <w:rFonts w:eastAsia="宋体"/>
          <w:bCs/>
          <w:sz w:val="21"/>
          <w:szCs w:val="21"/>
          <w:lang w:val="en-GB" w:eastAsia="zh-CN"/>
        </w:rPr>
        <w:t>ms</w:t>
      </w:r>
      <w:proofErr w:type="spellEnd"/>
      <w:r w:rsidR="002E5523">
        <w:rPr>
          <w:rFonts w:eastAsia="宋体"/>
          <w:bCs/>
          <w:sz w:val="21"/>
          <w:szCs w:val="21"/>
          <w:lang w:val="en-GB" w:eastAsia="zh-CN"/>
        </w:rPr>
        <w:t>.</w:t>
      </w:r>
      <w:r w:rsidR="00052C32">
        <w:rPr>
          <w:rFonts w:eastAsia="宋体"/>
          <w:bCs/>
          <w:sz w:val="21"/>
          <w:szCs w:val="21"/>
          <w:lang w:val="en-GB" w:eastAsia="zh-CN"/>
        </w:rPr>
        <w:t xml:space="preserve"> This means that received signals may become non-coherent even within the same slot, which is not assumed in 5G system design. Therefore, support of HST scenarios requires a non-multi-path fading deployment</w:t>
      </w:r>
      <w:r w:rsidR="00BB76BB">
        <w:rPr>
          <w:rFonts w:eastAsia="宋体"/>
          <w:bCs/>
          <w:sz w:val="21"/>
          <w:szCs w:val="21"/>
          <w:lang w:val="en-GB" w:eastAsia="zh-CN"/>
        </w:rPr>
        <w:t>. In this sense, multi-path fading channel is not necessary in HST PUSCH performance requirements.</w:t>
      </w:r>
    </w:p>
    <w:p w:rsidR="00307FB2" w:rsidRPr="00B45325" w:rsidRDefault="00BB76BB" w:rsidP="009C0ACA">
      <w:pPr>
        <w:pStyle w:val="BodyText"/>
        <w:tabs>
          <w:tab w:val="num" w:pos="226"/>
          <w:tab w:val="num" w:pos="284"/>
          <w:tab w:val="left" w:pos="5103"/>
        </w:tabs>
        <w:snapToGrid w:val="0"/>
        <w:rPr>
          <w:rFonts w:eastAsia="宋体"/>
          <w:b/>
          <w:bCs/>
          <w:sz w:val="21"/>
          <w:szCs w:val="21"/>
          <w:lang w:val="en-GB" w:eastAsia="zh-CN"/>
        </w:rPr>
      </w:pPr>
      <w:r w:rsidRPr="00B45325">
        <w:rPr>
          <w:rFonts w:eastAsia="宋体"/>
          <w:b/>
          <w:bCs/>
          <w:sz w:val="21"/>
          <w:szCs w:val="21"/>
          <w:lang w:val="en-GB" w:eastAsia="zh-CN"/>
        </w:rPr>
        <w:t xml:space="preserve">Proposal 3: </w:t>
      </w:r>
      <w:r w:rsidR="00B45325" w:rsidRPr="00B45325">
        <w:rPr>
          <w:rFonts w:eastAsia="宋体"/>
          <w:b/>
          <w:bCs/>
          <w:sz w:val="21"/>
          <w:szCs w:val="21"/>
          <w:lang w:val="en-GB" w:eastAsia="zh-CN"/>
        </w:rPr>
        <w:t xml:space="preserve">Multi-path fading in high speed train may lead to non-coherence within the same slot, therefore support of HST scenarios requires a non-multi-path fading deployment, and no requirement should be introduced for multi-path fading channel under high Doppler value (Option 1). </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lastRenderedPageBreak/>
        <w:t>Conclusion</w:t>
      </w:r>
    </w:p>
    <w:p w:rsidR="00B45325"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B45325">
        <w:rPr>
          <w:rFonts w:eastAsia="宋体"/>
          <w:bCs/>
          <w:sz w:val="21"/>
          <w:szCs w:val="21"/>
          <w:lang w:val="en-GB" w:eastAsia="zh-CN"/>
        </w:rPr>
        <w:t>s</w:t>
      </w:r>
      <w:r>
        <w:rPr>
          <w:rFonts w:eastAsia="宋体"/>
          <w:bCs/>
          <w:sz w:val="21"/>
          <w:szCs w:val="21"/>
          <w:lang w:val="en-GB" w:eastAsia="zh-CN"/>
        </w:rPr>
        <w:t xml:space="preserve"> for</w:t>
      </w:r>
      <w:r w:rsidR="00B45325">
        <w:rPr>
          <w:rFonts w:eastAsia="宋体"/>
          <w:bCs/>
          <w:sz w:val="21"/>
          <w:szCs w:val="21"/>
          <w:lang w:val="en-GB" w:eastAsia="zh-CN"/>
        </w:rPr>
        <w:t xml:space="preserve"> HST PUSCH performance requirements:</w:t>
      </w:r>
    </w:p>
    <w:p w:rsidR="00B45325" w:rsidRDefault="00B45325" w:rsidP="00B45325">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Introduce a new declaration item (Option 1) shown in Table -1.</w:t>
      </w:r>
    </w:p>
    <w:p w:rsidR="003E361E" w:rsidRDefault="00B45325" w:rsidP="009B2891">
      <w:pPr>
        <w:pStyle w:val="BodyText"/>
        <w:tabs>
          <w:tab w:val="num" w:pos="226"/>
          <w:tab w:val="num" w:pos="284"/>
          <w:tab w:val="left" w:pos="5103"/>
        </w:tabs>
        <w:snapToGrid w:val="0"/>
        <w:rPr>
          <w:rFonts w:eastAsia="宋体"/>
          <w:b/>
          <w:bCs/>
          <w:sz w:val="21"/>
          <w:szCs w:val="21"/>
          <w:lang w:val="en-GB" w:eastAsia="zh-CN"/>
        </w:rPr>
      </w:pPr>
      <w:r w:rsidRPr="00A774E6">
        <w:rPr>
          <w:rFonts w:eastAsia="宋体"/>
          <w:b/>
          <w:bCs/>
          <w:sz w:val="21"/>
          <w:szCs w:val="21"/>
          <w:lang w:val="en-GB" w:eastAsia="zh-CN"/>
        </w:rPr>
        <w:t>Proposal 2: Focus on completion of Rel-16 performance requirements at this stage and do not introduce DFT-s-OFDM requirements for HST PUSCH (Option 2)</w:t>
      </w:r>
    </w:p>
    <w:p w:rsidR="00B45325" w:rsidRPr="00B45325" w:rsidRDefault="00B45325" w:rsidP="00B45325">
      <w:pPr>
        <w:pStyle w:val="BodyText"/>
        <w:tabs>
          <w:tab w:val="num" w:pos="226"/>
          <w:tab w:val="num" w:pos="284"/>
          <w:tab w:val="left" w:pos="5103"/>
        </w:tabs>
        <w:snapToGrid w:val="0"/>
        <w:rPr>
          <w:rFonts w:eastAsia="宋体"/>
          <w:b/>
          <w:bCs/>
          <w:sz w:val="21"/>
          <w:szCs w:val="21"/>
          <w:lang w:val="en-GB" w:eastAsia="zh-CN"/>
        </w:rPr>
      </w:pPr>
      <w:r w:rsidRPr="00B45325">
        <w:rPr>
          <w:rFonts w:eastAsia="宋体"/>
          <w:b/>
          <w:bCs/>
          <w:sz w:val="21"/>
          <w:szCs w:val="21"/>
          <w:lang w:val="en-GB" w:eastAsia="zh-CN"/>
        </w:rPr>
        <w:t xml:space="preserve">Proposal 3: Multi-path fading in high speed train may lead to non-coherence within the same slot, therefore support of HST scenarios requires a non-multi-path fading deployment, and no requirement should be introduced for multi-path fading channel under high Doppler value (Option 1). </w:t>
      </w:r>
    </w:p>
    <w:p w:rsidR="009C0ACA" w:rsidRPr="009C0ACA" w:rsidRDefault="009C0ACA"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Default="00D0160F" w:rsidP="00746B1F">
      <w:pPr>
        <w:pStyle w:val="List2"/>
      </w:pPr>
      <w:r w:rsidRPr="00D0160F">
        <w:t>R</w:t>
      </w:r>
      <w:r w:rsidR="00746B1F">
        <w:t xml:space="preserve">4-2005534 WF on Rel-16 NR </w:t>
      </w:r>
      <w:r w:rsidR="00746B1F" w:rsidRPr="00746B1F">
        <w:t>HST PUSCH BS demodulation requirements</w:t>
      </w:r>
      <w:r w:rsidR="00746B1F">
        <w:t>, Nokia</w:t>
      </w:r>
    </w:p>
    <w:p w:rsidR="000B7949" w:rsidRDefault="00C272EE" w:rsidP="00746B1F">
      <w:pPr>
        <w:pStyle w:val="List2"/>
      </w:pPr>
      <w:r>
        <w:t>TS 38.141-1</w:t>
      </w:r>
      <w:r w:rsidR="008A4AFC">
        <w:t xml:space="preserve"> v16.3.0</w:t>
      </w:r>
    </w:p>
    <w:p w:rsidR="00C272EE" w:rsidRPr="00183F7C" w:rsidRDefault="00D20E87" w:rsidP="00D20E87">
      <w:pPr>
        <w:pStyle w:val="List2"/>
      </w:pPr>
      <w:r>
        <w:t xml:space="preserve">R4-200xxxx, </w:t>
      </w:r>
      <w:r w:rsidRPr="00D20E87">
        <w:t>Further discussion on BS demodulation performance requirements for UL TA</w:t>
      </w:r>
      <w:r>
        <w:t>, ZTE</w:t>
      </w:r>
    </w:p>
    <w:sectPr w:rsidR="00C272EE"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155" w:rsidRDefault="00602155" w:rsidP="00E7784C">
      <w:r>
        <w:separator/>
      </w:r>
    </w:p>
  </w:endnote>
  <w:endnote w:type="continuationSeparator" w:id="0">
    <w:p w:rsidR="00602155" w:rsidRDefault="0060215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40784A" w:rsidRPr="0040784A">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155" w:rsidRDefault="00602155" w:rsidP="00E7784C">
      <w:r>
        <w:separator/>
      </w:r>
    </w:p>
  </w:footnote>
  <w:footnote w:type="continuationSeparator" w:id="0">
    <w:p w:rsidR="00602155" w:rsidRDefault="00602155"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9F3CE0"/>
    <w:multiLevelType w:val="hybridMultilevel"/>
    <w:tmpl w:val="28D83BD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2C32"/>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5E28"/>
    <w:rsid w:val="000B695A"/>
    <w:rsid w:val="000B6B78"/>
    <w:rsid w:val="000B7043"/>
    <w:rsid w:val="000B743D"/>
    <w:rsid w:val="000B7949"/>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51AE"/>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5523"/>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7FB2"/>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1C4D"/>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518"/>
    <w:rsid w:val="003678D9"/>
    <w:rsid w:val="003704A1"/>
    <w:rsid w:val="00371C5B"/>
    <w:rsid w:val="00372800"/>
    <w:rsid w:val="00373399"/>
    <w:rsid w:val="00374059"/>
    <w:rsid w:val="003746D0"/>
    <w:rsid w:val="00374D0D"/>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84A"/>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08A"/>
    <w:rsid w:val="004A1CAC"/>
    <w:rsid w:val="004A2013"/>
    <w:rsid w:val="004A2D64"/>
    <w:rsid w:val="004A2E19"/>
    <w:rsid w:val="004A34D4"/>
    <w:rsid w:val="004A4082"/>
    <w:rsid w:val="004A4FFD"/>
    <w:rsid w:val="004A501F"/>
    <w:rsid w:val="004A69CB"/>
    <w:rsid w:val="004A74D2"/>
    <w:rsid w:val="004B0B3C"/>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13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6F06"/>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E62"/>
    <w:rsid w:val="006020AE"/>
    <w:rsid w:val="00602155"/>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10F4"/>
    <w:rsid w:val="0067279F"/>
    <w:rsid w:val="0067284E"/>
    <w:rsid w:val="00672DD2"/>
    <w:rsid w:val="00674016"/>
    <w:rsid w:val="006747D6"/>
    <w:rsid w:val="00674BBF"/>
    <w:rsid w:val="006764BE"/>
    <w:rsid w:val="00676D81"/>
    <w:rsid w:val="00680981"/>
    <w:rsid w:val="00680BCF"/>
    <w:rsid w:val="00681E14"/>
    <w:rsid w:val="00681F92"/>
    <w:rsid w:val="00686A01"/>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BC"/>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6711"/>
    <w:rsid w:val="006F7C9D"/>
    <w:rsid w:val="00700808"/>
    <w:rsid w:val="00700BA1"/>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46B1F"/>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D69BE"/>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5C6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6D7"/>
    <w:rsid w:val="008A0764"/>
    <w:rsid w:val="008A0CC1"/>
    <w:rsid w:val="008A10DB"/>
    <w:rsid w:val="008A4AFC"/>
    <w:rsid w:val="008A5BFE"/>
    <w:rsid w:val="008A5FEB"/>
    <w:rsid w:val="008A627D"/>
    <w:rsid w:val="008A6BBC"/>
    <w:rsid w:val="008B22DB"/>
    <w:rsid w:val="008B43ED"/>
    <w:rsid w:val="008B6231"/>
    <w:rsid w:val="008B6360"/>
    <w:rsid w:val="008B7297"/>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27BDD"/>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4E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273A"/>
    <w:rsid w:val="00AF3BAC"/>
    <w:rsid w:val="00AF4B12"/>
    <w:rsid w:val="00AF5E39"/>
    <w:rsid w:val="00AF6EC8"/>
    <w:rsid w:val="00AF7EAE"/>
    <w:rsid w:val="00B00A49"/>
    <w:rsid w:val="00B01EC6"/>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5325"/>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B76BB"/>
    <w:rsid w:val="00BC0F7E"/>
    <w:rsid w:val="00BC36BD"/>
    <w:rsid w:val="00BC38AA"/>
    <w:rsid w:val="00BC5FF9"/>
    <w:rsid w:val="00BC7056"/>
    <w:rsid w:val="00BC74C3"/>
    <w:rsid w:val="00BC7A4C"/>
    <w:rsid w:val="00BD0600"/>
    <w:rsid w:val="00BD1297"/>
    <w:rsid w:val="00BD4215"/>
    <w:rsid w:val="00BD437D"/>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272EE"/>
    <w:rsid w:val="00C31885"/>
    <w:rsid w:val="00C31E56"/>
    <w:rsid w:val="00C331CB"/>
    <w:rsid w:val="00C341FD"/>
    <w:rsid w:val="00C36A9E"/>
    <w:rsid w:val="00C36AD4"/>
    <w:rsid w:val="00C4347B"/>
    <w:rsid w:val="00C44337"/>
    <w:rsid w:val="00C444FE"/>
    <w:rsid w:val="00C44FC6"/>
    <w:rsid w:val="00C45078"/>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0E87"/>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24FF"/>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3ABC"/>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qFormat/>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B917D-6DFA-4FA6-BC15-CB805010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2020-05-15T12:24:00Z</dcterms:created>
  <dcterms:modified xsi:type="dcterms:W3CDTF">2020-05-15T12:24:00Z</dcterms:modified>
</cp:coreProperties>
</file>